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81D" w14:textId="6ED9EE5C" w:rsidR="005662A0" w:rsidRPr="00330DB1" w:rsidRDefault="00B14AB2" w:rsidP="00330DB1">
      <w:pPr>
        <w:jc w:val="center"/>
        <w:rPr>
          <w:rFonts w:ascii="Verdana" w:hAnsi="Verdana"/>
          <w:b/>
          <w:bCs/>
        </w:rPr>
      </w:pPr>
      <w:r w:rsidRPr="00330DB1">
        <w:rPr>
          <w:rFonts w:ascii="Verdana" w:hAnsi="Verdana"/>
          <w:b/>
          <w:bCs/>
        </w:rPr>
        <w:t>Gender Pay Gap Report</w:t>
      </w:r>
    </w:p>
    <w:p w14:paraId="399A385B" w14:textId="59138D65" w:rsidR="00B14AB2" w:rsidRPr="00330DB1" w:rsidRDefault="00780325">
      <w:pPr>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UK</w:t>
      </w:r>
      <w:r w:rsidR="00B14AB2" w:rsidRPr="00330DB1">
        <w:rPr>
          <w:rFonts w:ascii="Verdana" w:hAnsi="Verdana"/>
        </w:rPr>
        <w:t xml:space="preserve"> is required by law to publish an annual gender pay gap report. This is our report for the snapshot date of 5 April </w:t>
      </w:r>
      <w:r>
        <w:rPr>
          <w:rFonts w:ascii="Verdana" w:hAnsi="Verdana"/>
        </w:rPr>
        <w:t>2022</w:t>
      </w:r>
      <w:r w:rsidR="00B14AB2" w:rsidRPr="00330DB1">
        <w:rPr>
          <w:rFonts w:ascii="Verdana" w:hAnsi="Verdana"/>
        </w:rPr>
        <w:t xml:space="preserve">. </w:t>
      </w:r>
    </w:p>
    <w:p w14:paraId="6D16C922" w14:textId="46AA9896"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mean gender pay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UK</w:t>
      </w:r>
      <w:r w:rsidRPr="00330DB1">
        <w:rPr>
          <w:rFonts w:ascii="Verdana" w:hAnsi="Verdana"/>
        </w:rPr>
        <w:t xml:space="preserve"> is </w:t>
      </w:r>
      <w:r w:rsidR="009969DA" w:rsidRPr="009969DA">
        <w:rPr>
          <w:rFonts w:ascii="Verdana" w:hAnsi="Verdana"/>
        </w:rPr>
        <w:t>3.7%</w:t>
      </w:r>
    </w:p>
    <w:p w14:paraId="29F8045E" w14:textId="7EFDB50B"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median gender pay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UK</w:t>
      </w:r>
      <w:r w:rsidRPr="00330DB1">
        <w:rPr>
          <w:rFonts w:ascii="Verdana" w:hAnsi="Verdana"/>
        </w:rPr>
        <w:t xml:space="preserve"> is </w:t>
      </w:r>
      <w:r w:rsidR="009969DA" w:rsidRPr="009969DA">
        <w:rPr>
          <w:rFonts w:ascii="Verdana" w:hAnsi="Verdana"/>
        </w:rPr>
        <w:t>-12.4%</w:t>
      </w:r>
    </w:p>
    <w:p w14:paraId="5C278210" w14:textId="7B2D8D2D"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mean gender bonus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UK</w:t>
      </w:r>
      <w:r w:rsidRPr="00330DB1">
        <w:rPr>
          <w:rFonts w:ascii="Verdana" w:hAnsi="Verdana"/>
        </w:rPr>
        <w:t xml:space="preserve"> is </w:t>
      </w:r>
      <w:r w:rsidR="009969DA" w:rsidRPr="009969DA">
        <w:rPr>
          <w:rFonts w:ascii="Verdana" w:hAnsi="Verdana"/>
        </w:rPr>
        <w:t>22.5%</w:t>
      </w:r>
    </w:p>
    <w:p w14:paraId="2C145147" w14:textId="6270E461"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median gender bonus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UK</w:t>
      </w:r>
      <w:r w:rsidRPr="00330DB1">
        <w:rPr>
          <w:rFonts w:ascii="Verdana" w:hAnsi="Verdana"/>
        </w:rPr>
        <w:t xml:space="preserve"> is </w:t>
      </w:r>
      <w:r w:rsidR="009969DA" w:rsidRPr="009969DA">
        <w:rPr>
          <w:rFonts w:ascii="Verdana" w:hAnsi="Verdana"/>
        </w:rPr>
        <w:t>41.1%</w:t>
      </w:r>
    </w:p>
    <w:p w14:paraId="346AD264" w14:textId="3DAE8A80"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proportion of male employees in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UK</w:t>
      </w:r>
      <w:r w:rsidRPr="00330DB1">
        <w:rPr>
          <w:rFonts w:ascii="Verdana" w:hAnsi="Verdana"/>
        </w:rPr>
        <w:t xml:space="preserve"> receiving a bonus is </w:t>
      </w:r>
      <w:r w:rsidR="009969DA" w:rsidRPr="009969DA">
        <w:rPr>
          <w:rFonts w:ascii="Verdana" w:hAnsi="Verdana"/>
        </w:rPr>
        <w:t>88.6%</w:t>
      </w:r>
      <w:r w:rsidRPr="00330DB1">
        <w:rPr>
          <w:rFonts w:ascii="Verdana" w:hAnsi="Verdana"/>
        </w:rPr>
        <w:t xml:space="preserve"> and the proportion of female employees receiving a bonus is </w:t>
      </w:r>
      <w:r w:rsidR="009969DA" w:rsidRPr="009969DA">
        <w:rPr>
          <w:rFonts w:ascii="Verdana" w:hAnsi="Verdana"/>
        </w:rPr>
        <w:t>81.7%</w:t>
      </w:r>
    </w:p>
    <w:p w14:paraId="240FF58B" w14:textId="134B8959" w:rsidR="00B14AB2" w:rsidRPr="00330DB1" w:rsidRDefault="00B14AB2" w:rsidP="00B14AB2">
      <w:pPr>
        <w:pStyle w:val="ListParagraph"/>
        <w:rPr>
          <w:rFonts w:ascii="Verdana" w:hAnsi="Verdana"/>
        </w:rPr>
      </w:pPr>
    </w:p>
    <w:p w14:paraId="53E0E97B" w14:textId="7485EE19" w:rsidR="00B14AB2" w:rsidRPr="00330DB1" w:rsidRDefault="00B14AB2" w:rsidP="00B14AB2">
      <w:pPr>
        <w:pStyle w:val="ListParagraph"/>
        <w:rPr>
          <w:rFonts w:ascii="Verdana" w:hAnsi="Verdana"/>
          <w:b/>
          <w:bCs/>
        </w:rPr>
      </w:pPr>
      <w:r w:rsidRPr="00330DB1">
        <w:rPr>
          <w:rFonts w:ascii="Verdana" w:hAnsi="Verdana"/>
          <w:b/>
          <w:bCs/>
        </w:rPr>
        <w:t>Pay Quartiles by Gender</w:t>
      </w:r>
    </w:p>
    <w:p w14:paraId="510C215A" w14:textId="596865AA" w:rsidR="00B14AB2" w:rsidRPr="00330DB1" w:rsidRDefault="00B14AB2" w:rsidP="00B14AB2">
      <w:pPr>
        <w:pStyle w:val="ListParagraph"/>
        <w:rPr>
          <w:rFonts w:ascii="Verdana" w:hAnsi="Verdana"/>
        </w:rPr>
      </w:pPr>
    </w:p>
    <w:p w14:paraId="15112126" w14:textId="6F06BF29" w:rsidR="00B14AB2" w:rsidRPr="00330DB1" w:rsidRDefault="00B14AB2" w:rsidP="00B14AB2">
      <w:pPr>
        <w:pStyle w:val="ListParagraph"/>
        <w:rPr>
          <w:rFonts w:ascii="Verdana" w:hAnsi="Verdana"/>
          <w:b/>
          <w:bCs/>
        </w:rPr>
      </w:pPr>
      <w:r w:rsidRPr="00330DB1">
        <w:rPr>
          <w:rFonts w:ascii="Verdana" w:hAnsi="Verdana"/>
          <w:b/>
          <w:bCs/>
        </w:rPr>
        <w:t>Band A</w:t>
      </w:r>
    </w:p>
    <w:p w14:paraId="70E07403" w14:textId="6DCF9B7C" w:rsidR="00B14AB2" w:rsidRPr="00330DB1" w:rsidRDefault="00B14AB2" w:rsidP="00B14AB2">
      <w:pPr>
        <w:pStyle w:val="ListParagraph"/>
        <w:rPr>
          <w:rFonts w:ascii="Verdana" w:hAnsi="Verdana"/>
        </w:rPr>
      </w:pPr>
    </w:p>
    <w:p w14:paraId="508B1BFD" w14:textId="77777777" w:rsidR="009969DA" w:rsidRPr="009969DA" w:rsidRDefault="00B14AB2" w:rsidP="009969DA">
      <w:pPr>
        <w:pStyle w:val="ListParagraph"/>
        <w:rPr>
          <w:rFonts w:ascii="Verdana" w:hAnsi="Verdana"/>
        </w:rPr>
      </w:pPr>
      <w:r w:rsidRPr="00330DB1">
        <w:rPr>
          <w:rFonts w:ascii="Verdana" w:hAnsi="Verdana"/>
        </w:rPr>
        <w:t xml:space="preserve">Males </w:t>
      </w:r>
      <w:r w:rsidR="009969DA" w:rsidRPr="009969DA">
        <w:rPr>
          <w:rFonts w:ascii="Verdana" w:hAnsi="Verdana"/>
        </w:rPr>
        <w:t>42.62%</w:t>
      </w:r>
    </w:p>
    <w:p w14:paraId="7A65A6F7" w14:textId="20A6E69B" w:rsidR="00B14AB2" w:rsidRPr="009969DA" w:rsidRDefault="00830CC0" w:rsidP="009969DA">
      <w:pPr>
        <w:pStyle w:val="ListParagraph"/>
        <w:rPr>
          <w:rFonts w:ascii="Verdana" w:hAnsi="Verdana"/>
        </w:rPr>
      </w:pPr>
      <w:r w:rsidRPr="00330DB1">
        <w:rPr>
          <w:rFonts w:ascii="Verdana" w:hAnsi="Verdana"/>
        </w:rPr>
        <w:t xml:space="preserve">Females </w:t>
      </w:r>
      <w:r w:rsidR="009969DA" w:rsidRPr="009969DA">
        <w:rPr>
          <w:rFonts w:ascii="Verdana" w:hAnsi="Verdana"/>
        </w:rPr>
        <w:t>57.38%</w:t>
      </w:r>
    </w:p>
    <w:p w14:paraId="71CBA1D2" w14:textId="20E131F7" w:rsidR="00B14AB2" w:rsidRPr="00330DB1" w:rsidRDefault="00B14AB2" w:rsidP="00B14AB2">
      <w:pPr>
        <w:pStyle w:val="ListParagraph"/>
        <w:rPr>
          <w:rFonts w:ascii="Verdana" w:hAnsi="Verdana"/>
        </w:rPr>
      </w:pPr>
    </w:p>
    <w:p w14:paraId="7A469BE1" w14:textId="5A821F2E" w:rsidR="00B14AB2" w:rsidRPr="00330DB1" w:rsidRDefault="00B14AB2" w:rsidP="00B14AB2">
      <w:pPr>
        <w:pStyle w:val="ListParagraph"/>
        <w:rPr>
          <w:rFonts w:ascii="Verdana" w:hAnsi="Verdana"/>
        </w:rPr>
      </w:pPr>
      <w:r w:rsidRPr="00330DB1">
        <w:rPr>
          <w:rFonts w:ascii="Verdana" w:hAnsi="Verdana"/>
        </w:rPr>
        <w:t xml:space="preserve">Includes all employees whose standard </w:t>
      </w:r>
      <w:r w:rsidR="00830CC0" w:rsidRPr="00330DB1">
        <w:rPr>
          <w:rFonts w:ascii="Verdana" w:hAnsi="Verdana"/>
        </w:rPr>
        <w:t>hourly rate places them in the upper pay quarter</w:t>
      </w:r>
    </w:p>
    <w:p w14:paraId="4CF30E36" w14:textId="23751A0A" w:rsidR="00830CC0" w:rsidRPr="00330DB1" w:rsidRDefault="00830CC0" w:rsidP="00B14AB2">
      <w:pPr>
        <w:pStyle w:val="ListParagraph"/>
        <w:rPr>
          <w:rFonts w:ascii="Verdana" w:hAnsi="Verdana"/>
        </w:rPr>
      </w:pPr>
    </w:p>
    <w:p w14:paraId="5E74C51A" w14:textId="559ACADE" w:rsidR="00830CC0" w:rsidRPr="00330DB1" w:rsidRDefault="00830CC0" w:rsidP="00B14AB2">
      <w:pPr>
        <w:pStyle w:val="ListParagraph"/>
        <w:rPr>
          <w:rFonts w:ascii="Verdana" w:hAnsi="Verdana"/>
          <w:b/>
          <w:bCs/>
        </w:rPr>
      </w:pPr>
      <w:r w:rsidRPr="00330DB1">
        <w:rPr>
          <w:rFonts w:ascii="Verdana" w:hAnsi="Verdana"/>
          <w:b/>
          <w:bCs/>
        </w:rPr>
        <w:t>Band B</w:t>
      </w:r>
    </w:p>
    <w:p w14:paraId="2E6586B5" w14:textId="07EDA25A" w:rsidR="00830CC0" w:rsidRPr="00330DB1" w:rsidRDefault="00830CC0" w:rsidP="00B14AB2">
      <w:pPr>
        <w:pStyle w:val="ListParagraph"/>
        <w:rPr>
          <w:rFonts w:ascii="Verdana" w:hAnsi="Verdana"/>
        </w:rPr>
      </w:pPr>
    </w:p>
    <w:p w14:paraId="427A0CF2" w14:textId="6D184AB7" w:rsidR="00830CC0" w:rsidRPr="00330DB1" w:rsidRDefault="00830CC0" w:rsidP="00B14AB2">
      <w:pPr>
        <w:pStyle w:val="ListParagraph"/>
        <w:rPr>
          <w:rFonts w:ascii="Verdana" w:hAnsi="Verdana"/>
        </w:rPr>
      </w:pPr>
      <w:r w:rsidRPr="00330DB1">
        <w:rPr>
          <w:rFonts w:ascii="Verdana" w:hAnsi="Verdana"/>
        </w:rPr>
        <w:t xml:space="preserve">Males </w:t>
      </w:r>
      <w:r w:rsidR="009969DA" w:rsidRPr="009969DA">
        <w:rPr>
          <w:rFonts w:ascii="Verdana" w:hAnsi="Verdana"/>
        </w:rPr>
        <w:t>18.91%</w:t>
      </w:r>
    </w:p>
    <w:p w14:paraId="77F6B943" w14:textId="2D2329BD" w:rsidR="00830CC0" w:rsidRPr="009969DA" w:rsidRDefault="00830CC0" w:rsidP="009969DA">
      <w:pPr>
        <w:pStyle w:val="ListParagraph"/>
        <w:rPr>
          <w:rFonts w:ascii="Verdana" w:hAnsi="Verdana"/>
        </w:rPr>
      </w:pPr>
      <w:r w:rsidRPr="00330DB1">
        <w:rPr>
          <w:rFonts w:ascii="Verdana" w:hAnsi="Verdana"/>
        </w:rPr>
        <w:t xml:space="preserve">Females </w:t>
      </w:r>
      <w:r w:rsidR="009969DA" w:rsidRPr="009969DA">
        <w:rPr>
          <w:rFonts w:ascii="Verdana" w:hAnsi="Verdana"/>
        </w:rPr>
        <w:t>81.09%</w:t>
      </w:r>
    </w:p>
    <w:p w14:paraId="04C0D848" w14:textId="77777777" w:rsidR="009969DA" w:rsidRPr="00330DB1" w:rsidRDefault="009969DA" w:rsidP="00B14AB2">
      <w:pPr>
        <w:pStyle w:val="ListParagraph"/>
        <w:rPr>
          <w:rFonts w:ascii="Verdana" w:hAnsi="Verdana"/>
        </w:rPr>
      </w:pPr>
    </w:p>
    <w:p w14:paraId="3A8AFD37" w14:textId="63B8C631" w:rsidR="00830CC0" w:rsidRPr="00330DB1" w:rsidRDefault="00830CC0" w:rsidP="00B14AB2">
      <w:pPr>
        <w:pStyle w:val="ListParagraph"/>
        <w:rPr>
          <w:rFonts w:ascii="Verdana" w:hAnsi="Verdana"/>
        </w:rPr>
      </w:pPr>
      <w:r w:rsidRPr="00330DB1">
        <w:rPr>
          <w:rFonts w:ascii="Verdana" w:hAnsi="Verdana"/>
        </w:rPr>
        <w:t>Includes all employees whose standard hourly rate places them in the upper middle pay quarter</w:t>
      </w:r>
    </w:p>
    <w:p w14:paraId="42982E07" w14:textId="632A8F6B" w:rsidR="00830CC0" w:rsidRPr="00330DB1" w:rsidRDefault="00830CC0" w:rsidP="00B14AB2">
      <w:pPr>
        <w:pStyle w:val="ListParagraph"/>
        <w:rPr>
          <w:rFonts w:ascii="Verdana" w:hAnsi="Verdana"/>
        </w:rPr>
      </w:pPr>
    </w:p>
    <w:p w14:paraId="72CCE3A5" w14:textId="05148309" w:rsidR="00830CC0" w:rsidRPr="00330DB1" w:rsidRDefault="00830CC0" w:rsidP="00B14AB2">
      <w:pPr>
        <w:pStyle w:val="ListParagraph"/>
        <w:rPr>
          <w:rFonts w:ascii="Verdana" w:hAnsi="Verdana"/>
          <w:b/>
          <w:bCs/>
        </w:rPr>
      </w:pPr>
      <w:r w:rsidRPr="00330DB1">
        <w:rPr>
          <w:rFonts w:ascii="Verdana" w:hAnsi="Verdana"/>
          <w:b/>
          <w:bCs/>
        </w:rPr>
        <w:t>Band C</w:t>
      </w:r>
    </w:p>
    <w:p w14:paraId="7EF3B247" w14:textId="660B4EF8" w:rsidR="00830CC0" w:rsidRPr="00330DB1" w:rsidRDefault="00830CC0" w:rsidP="00B14AB2">
      <w:pPr>
        <w:pStyle w:val="ListParagraph"/>
        <w:rPr>
          <w:rFonts w:ascii="Verdana" w:hAnsi="Verdana"/>
        </w:rPr>
      </w:pPr>
    </w:p>
    <w:p w14:paraId="5AE15FA0" w14:textId="7448CECA" w:rsidR="00830CC0" w:rsidRPr="00330DB1" w:rsidRDefault="00830CC0" w:rsidP="00B14AB2">
      <w:pPr>
        <w:pStyle w:val="ListParagraph"/>
        <w:rPr>
          <w:rFonts w:ascii="Verdana" w:hAnsi="Verdana"/>
        </w:rPr>
      </w:pPr>
      <w:r w:rsidRPr="00330DB1">
        <w:rPr>
          <w:rFonts w:ascii="Verdana" w:hAnsi="Verdana"/>
        </w:rPr>
        <w:t xml:space="preserve">Males </w:t>
      </w:r>
      <w:r w:rsidR="009969DA" w:rsidRPr="009969DA">
        <w:rPr>
          <w:rFonts w:ascii="Verdana" w:hAnsi="Verdana"/>
        </w:rPr>
        <w:t>47.26%</w:t>
      </w:r>
    </w:p>
    <w:p w14:paraId="774A8B8F" w14:textId="6FEC2870" w:rsidR="00830CC0" w:rsidRPr="00330DB1" w:rsidRDefault="00830CC0" w:rsidP="00B14AB2">
      <w:pPr>
        <w:pStyle w:val="ListParagraph"/>
        <w:rPr>
          <w:rFonts w:ascii="Verdana" w:hAnsi="Verdana"/>
        </w:rPr>
      </w:pPr>
      <w:r w:rsidRPr="00330DB1">
        <w:rPr>
          <w:rFonts w:ascii="Verdana" w:hAnsi="Verdana"/>
        </w:rPr>
        <w:t xml:space="preserve">Females </w:t>
      </w:r>
      <w:r w:rsidR="009969DA" w:rsidRPr="009969DA">
        <w:rPr>
          <w:rFonts w:ascii="Verdana" w:hAnsi="Verdana"/>
        </w:rPr>
        <w:t>52.74%</w:t>
      </w:r>
    </w:p>
    <w:p w14:paraId="7DD2F98E" w14:textId="21BCC3FC" w:rsidR="00830CC0" w:rsidRPr="00330DB1" w:rsidRDefault="00830CC0" w:rsidP="00B14AB2">
      <w:pPr>
        <w:pStyle w:val="ListParagraph"/>
        <w:rPr>
          <w:rFonts w:ascii="Verdana" w:hAnsi="Verdana"/>
        </w:rPr>
      </w:pPr>
    </w:p>
    <w:p w14:paraId="61B756B6" w14:textId="7299F192" w:rsidR="00830CC0" w:rsidRPr="00330DB1" w:rsidRDefault="00830CC0" w:rsidP="00B14AB2">
      <w:pPr>
        <w:pStyle w:val="ListParagraph"/>
        <w:rPr>
          <w:rFonts w:ascii="Verdana" w:hAnsi="Verdana"/>
        </w:rPr>
      </w:pPr>
      <w:r w:rsidRPr="00330DB1">
        <w:rPr>
          <w:rFonts w:ascii="Verdana" w:hAnsi="Verdana"/>
        </w:rPr>
        <w:t>Includes all employees whose standard hourly rate places them in the lower middle pay quarter</w:t>
      </w:r>
    </w:p>
    <w:p w14:paraId="41E54101" w14:textId="12FB99FC" w:rsidR="00830CC0" w:rsidRPr="00330DB1" w:rsidRDefault="00830CC0" w:rsidP="00B14AB2">
      <w:pPr>
        <w:pStyle w:val="ListParagraph"/>
        <w:rPr>
          <w:rFonts w:ascii="Verdana" w:hAnsi="Verdana"/>
        </w:rPr>
      </w:pPr>
    </w:p>
    <w:p w14:paraId="594F0B1F" w14:textId="0665E8D3" w:rsidR="00830CC0" w:rsidRPr="00330DB1" w:rsidRDefault="00830CC0" w:rsidP="00B14AB2">
      <w:pPr>
        <w:pStyle w:val="ListParagraph"/>
        <w:rPr>
          <w:rFonts w:ascii="Verdana" w:hAnsi="Verdana"/>
          <w:b/>
          <w:bCs/>
        </w:rPr>
      </w:pPr>
      <w:r w:rsidRPr="00330DB1">
        <w:rPr>
          <w:rFonts w:ascii="Verdana" w:hAnsi="Verdana"/>
          <w:b/>
          <w:bCs/>
        </w:rPr>
        <w:t>Band D</w:t>
      </w:r>
    </w:p>
    <w:p w14:paraId="0EA19EA1" w14:textId="694F2DE6" w:rsidR="00830CC0" w:rsidRPr="00330DB1" w:rsidRDefault="00830CC0" w:rsidP="00B14AB2">
      <w:pPr>
        <w:pStyle w:val="ListParagraph"/>
        <w:rPr>
          <w:rFonts w:ascii="Verdana" w:hAnsi="Verdana"/>
        </w:rPr>
      </w:pPr>
    </w:p>
    <w:p w14:paraId="1948592D" w14:textId="2F05666E" w:rsidR="009969DA" w:rsidRPr="009969DA" w:rsidRDefault="00830CC0" w:rsidP="009969DA">
      <w:pPr>
        <w:pStyle w:val="ListParagraph"/>
        <w:rPr>
          <w:rFonts w:ascii="Verdana" w:hAnsi="Verdana"/>
        </w:rPr>
      </w:pPr>
      <w:r w:rsidRPr="00330DB1">
        <w:rPr>
          <w:rFonts w:ascii="Verdana" w:hAnsi="Verdana"/>
        </w:rPr>
        <w:t xml:space="preserve">Male </w:t>
      </w:r>
      <w:r w:rsidR="009969DA" w:rsidRPr="009969DA">
        <w:rPr>
          <w:rFonts w:ascii="Verdana" w:hAnsi="Verdana"/>
        </w:rPr>
        <w:t>39.50%</w:t>
      </w:r>
    </w:p>
    <w:p w14:paraId="3A887126" w14:textId="49B59EEA" w:rsidR="00830CC0" w:rsidRPr="009969DA" w:rsidRDefault="00830CC0" w:rsidP="009969DA">
      <w:pPr>
        <w:pStyle w:val="ListParagraph"/>
        <w:rPr>
          <w:rFonts w:ascii="Verdana" w:hAnsi="Verdana"/>
        </w:rPr>
      </w:pPr>
      <w:r w:rsidRPr="00330DB1">
        <w:rPr>
          <w:rFonts w:ascii="Verdana" w:hAnsi="Verdana"/>
        </w:rPr>
        <w:t xml:space="preserve">Females </w:t>
      </w:r>
      <w:r w:rsidR="009969DA" w:rsidRPr="009969DA">
        <w:rPr>
          <w:rFonts w:ascii="Verdana" w:hAnsi="Verdana"/>
        </w:rPr>
        <w:t>60.50%</w:t>
      </w:r>
    </w:p>
    <w:p w14:paraId="4982F30A" w14:textId="3FB2A1BF" w:rsidR="00830CC0" w:rsidRPr="00330DB1" w:rsidRDefault="00830CC0" w:rsidP="00B14AB2">
      <w:pPr>
        <w:pStyle w:val="ListParagraph"/>
        <w:rPr>
          <w:rFonts w:ascii="Verdana" w:hAnsi="Verdana"/>
        </w:rPr>
      </w:pPr>
    </w:p>
    <w:p w14:paraId="42F3F16E" w14:textId="4AA651CA" w:rsidR="00830CC0" w:rsidRDefault="00830CC0" w:rsidP="00B14AB2">
      <w:pPr>
        <w:pStyle w:val="ListParagraph"/>
        <w:rPr>
          <w:rFonts w:ascii="Verdana" w:hAnsi="Verdana"/>
        </w:rPr>
      </w:pPr>
      <w:r w:rsidRPr="00330DB1">
        <w:rPr>
          <w:rFonts w:ascii="Verdana" w:hAnsi="Verdana"/>
        </w:rPr>
        <w:lastRenderedPageBreak/>
        <w:t>Includes all employees whose standard hourly rate places them in the lower pay quarter.</w:t>
      </w:r>
    </w:p>
    <w:p w14:paraId="699C80AE" w14:textId="77777777" w:rsidR="00330DB1" w:rsidRPr="00330DB1" w:rsidRDefault="00330DB1" w:rsidP="00B14AB2">
      <w:pPr>
        <w:pStyle w:val="ListParagraph"/>
        <w:rPr>
          <w:rFonts w:ascii="Verdana" w:hAnsi="Verdana"/>
        </w:rPr>
      </w:pPr>
    </w:p>
    <w:p w14:paraId="0CC03C78" w14:textId="3A700777" w:rsidR="00830CC0" w:rsidRDefault="00830CC0" w:rsidP="00B14AB2">
      <w:pPr>
        <w:pStyle w:val="ListParagraph"/>
        <w:rPr>
          <w:rFonts w:ascii="Verdana" w:hAnsi="Verdana"/>
        </w:rPr>
      </w:pPr>
      <w:r w:rsidRPr="00330DB1">
        <w:rPr>
          <w:rFonts w:ascii="Verdana" w:hAnsi="Verdana"/>
        </w:rPr>
        <w:t>The figures set out above have been calculated using the standard methodologies used in the Equality Act 2010 (Gender Pay Gap Information) Regulations 2017.</w:t>
      </w:r>
    </w:p>
    <w:p w14:paraId="76DB417C" w14:textId="77777777" w:rsidR="00330DB1" w:rsidRPr="00330DB1" w:rsidRDefault="00330DB1" w:rsidP="00B14AB2">
      <w:pPr>
        <w:pStyle w:val="ListParagraph"/>
        <w:rPr>
          <w:rFonts w:ascii="Verdana" w:hAnsi="Verdana"/>
        </w:rPr>
      </w:pPr>
    </w:p>
    <w:p w14:paraId="4255B3A6" w14:textId="37F27FCF" w:rsidR="00830CC0" w:rsidRPr="00330DB1" w:rsidRDefault="00780325" w:rsidP="00B14AB2">
      <w:pPr>
        <w:pStyle w:val="ListParagraph"/>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UK</w:t>
      </w:r>
      <w:r w:rsidR="00830CC0" w:rsidRPr="00330DB1">
        <w:rPr>
          <w:rFonts w:ascii="Verdana" w:hAnsi="Verdana"/>
        </w:rPr>
        <w:t xml:space="preserve"> is 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w:t>
      </w:r>
    </w:p>
    <w:p w14:paraId="7C024B0F" w14:textId="7F0667F2" w:rsidR="00830CC0" w:rsidRPr="00330DB1" w:rsidRDefault="00830CC0" w:rsidP="00B14AB2">
      <w:pPr>
        <w:pStyle w:val="ListParagraph"/>
        <w:rPr>
          <w:rFonts w:ascii="Verdana" w:hAnsi="Verdana"/>
        </w:rPr>
      </w:pPr>
    </w:p>
    <w:p w14:paraId="33CEA587" w14:textId="2FC8D345" w:rsidR="00830CC0" w:rsidRPr="00330DB1" w:rsidRDefault="00780325" w:rsidP="00B14AB2">
      <w:pPr>
        <w:pStyle w:val="ListParagraph"/>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UK</w:t>
      </w:r>
      <w:r w:rsidR="00830CC0" w:rsidRPr="00330DB1">
        <w:rPr>
          <w:rFonts w:ascii="Verdana" w:hAnsi="Verdana"/>
        </w:rPr>
        <w:t xml:space="preserve"> is therefore confident that its gender pay group does not stem from paying men and </w:t>
      </w:r>
      <w:r w:rsidR="00330DB1" w:rsidRPr="00330DB1">
        <w:rPr>
          <w:rFonts w:ascii="Verdana" w:hAnsi="Verdana"/>
        </w:rPr>
        <w:t>women differently for the same or equivalent work. Rather its gender pay gap is the result of the roles in which men and women work within the organisation and the salaries that these roles attract.</w:t>
      </w:r>
    </w:p>
    <w:p w14:paraId="496F28CE" w14:textId="487D4997" w:rsidR="00330DB1" w:rsidRPr="00330DB1" w:rsidRDefault="00330DB1" w:rsidP="00B14AB2">
      <w:pPr>
        <w:pStyle w:val="ListParagraph"/>
        <w:rPr>
          <w:rFonts w:ascii="Verdana" w:hAnsi="Verdana"/>
        </w:rPr>
      </w:pPr>
    </w:p>
    <w:p w14:paraId="097D0F22" w14:textId="042DA065" w:rsidR="00330DB1" w:rsidRPr="00330DB1" w:rsidRDefault="00330DB1" w:rsidP="00B14AB2">
      <w:pPr>
        <w:pStyle w:val="ListParagraph"/>
        <w:rPr>
          <w:rFonts w:ascii="Verdana" w:hAnsi="Verdana"/>
        </w:rPr>
      </w:pPr>
      <w:r w:rsidRPr="00330DB1">
        <w:rPr>
          <w:rFonts w:ascii="Verdana" w:hAnsi="Verdana"/>
        </w:rPr>
        <w:t xml:space="preserve">I, </w:t>
      </w:r>
      <w:r w:rsidR="009969DA" w:rsidRPr="009969DA">
        <w:rPr>
          <w:rFonts w:ascii="Verdana" w:hAnsi="Verdana"/>
        </w:rPr>
        <w:t>Mikko</w:t>
      </w:r>
      <w:r w:rsidR="009969DA">
        <w:rPr>
          <w:rFonts w:ascii="Verdana" w:hAnsi="Verdana"/>
        </w:rPr>
        <w:t xml:space="preserve"> </w:t>
      </w:r>
      <w:r w:rsidR="009969DA" w:rsidRPr="009969DA">
        <w:rPr>
          <w:rFonts w:ascii="Verdana" w:hAnsi="Verdana"/>
        </w:rPr>
        <w:t>Tiitinen</w:t>
      </w:r>
      <w:r w:rsidRPr="00330DB1">
        <w:rPr>
          <w:rFonts w:ascii="Verdana" w:hAnsi="Verdana"/>
        </w:rPr>
        <w:t xml:space="preserve">, </w:t>
      </w:r>
      <w:r w:rsidR="009969DA">
        <w:rPr>
          <w:rFonts w:ascii="Verdana" w:hAnsi="Verdana"/>
        </w:rPr>
        <w:t>M</w:t>
      </w:r>
      <w:r w:rsidR="009969DA" w:rsidRPr="009969DA">
        <w:rPr>
          <w:rFonts w:ascii="Verdana" w:hAnsi="Verdana"/>
        </w:rPr>
        <w:t>anaging Director</w:t>
      </w:r>
      <w:r w:rsidR="009969DA">
        <w:rPr>
          <w:rFonts w:ascii="Verdana" w:hAnsi="Verdana"/>
        </w:rPr>
        <w:t xml:space="preserve"> (</w:t>
      </w:r>
      <w:r w:rsidR="009969DA" w:rsidRPr="009969DA">
        <w:rPr>
          <w:rFonts w:ascii="Verdana" w:hAnsi="Verdana"/>
        </w:rPr>
        <w:t>UK and Ireland</w:t>
      </w:r>
      <w:r w:rsidR="009969DA">
        <w:rPr>
          <w:rFonts w:ascii="Verdana" w:hAnsi="Verdana"/>
        </w:rPr>
        <w:t>)</w:t>
      </w:r>
      <w:r w:rsidRPr="00330DB1">
        <w:rPr>
          <w:rFonts w:ascii="Verdana" w:hAnsi="Verdana"/>
        </w:rPr>
        <w:t xml:space="preserve">, </w:t>
      </w:r>
      <w:r w:rsidR="009969DA">
        <w:rPr>
          <w:rFonts w:ascii="Verdana" w:hAnsi="Verdana"/>
        </w:rPr>
        <w:t xml:space="preserve">Fresenius </w:t>
      </w:r>
      <w:proofErr w:type="spellStart"/>
      <w:r w:rsidR="009969DA">
        <w:rPr>
          <w:rFonts w:ascii="Verdana" w:hAnsi="Verdana"/>
        </w:rPr>
        <w:t>Kabi</w:t>
      </w:r>
      <w:proofErr w:type="spellEnd"/>
      <w:r w:rsidR="009969DA">
        <w:rPr>
          <w:rFonts w:ascii="Verdana" w:hAnsi="Verdana"/>
        </w:rPr>
        <w:t xml:space="preserve"> UK</w:t>
      </w:r>
      <w:r w:rsidRPr="00330DB1">
        <w:rPr>
          <w:rFonts w:ascii="Verdana" w:hAnsi="Verdana"/>
        </w:rPr>
        <w:t xml:space="preserve">. Confirm that the information in this statement is accurate. </w:t>
      </w:r>
    </w:p>
    <w:sectPr w:rsidR="00330DB1" w:rsidRPr="00330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3A9B"/>
    <w:multiLevelType w:val="hybridMultilevel"/>
    <w:tmpl w:val="2AB4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B2"/>
    <w:rsid w:val="00330DB1"/>
    <w:rsid w:val="005662A0"/>
    <w:rsid w:val="00780325"/>
    <w:rsid w:val="00830CC0"/>
    <w:rsid w:val="009969DA"/>
    <w:rsid w:val="00B14AB2"/>
    <w:rsid w:val="00C75E9D"/>
    <w:rsid w:val="00CA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F60"/>
  <w15:chartTrackingRefBased/>
  <w15:docId w15:val="{00CE4584-47BB-457A-9461-14F2AC5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0590">
      <w:bodyDiv w:val="1"/>
      <w:marLeft w:val="0"/>
      <w:marRight w:val="0"/>
      <w:marTop w:val="0"/>
      <w:marBottom w:val="0"/>
      <w:divBdr>
        <w:top w:val="none" w:sz="0" w:space="0" w:color="auto"/>
        <w:left w:val="none" w:sz="0" w:space="0" w:color="auto"/>
        <w:bottom w:val="none" w:sz="0" w:space="0" w:color="auto"/>
        <w:right w:val="none" w:sz="0" w:space="0" w:color="auto"/>
      </w:divBdr>
    </w:div>
    <w:div w:id="771247787">
      <w:bodyDiv w:val="1"/>
      <w:marLeft w:val="0"/>
      <w:marRight w:val="0"/>
      <w:marTop w:val="0"/>
      <w:marBottom w:val="0"/>
      <w:divBdr>
        <w:top w:val="none" w:sz="0" w:space="0" w:color="auto"/>
        <w:left w:val="none" w:sz="0" w:space="0" w:color="auto"/>
        <w:bottom w:val="none" w:sz="0" w:space="0" w:color="auto"/>
        <w:right w:val="none" w:sz="0" w:space="0" w:color="auto"/>
      </w:divBdr>
    </w:div>
    <w:div w:id="840242222">
      <w:bodyDiv w:val="1"/>
      <w:marLeft w:val="0"/>
      <w:marRight w:val="0"/>
      <w:marTop w:val="0"/>
      <w:marBottom w:val="0"/>
      <w:divBdr>
        <w:top w:val="none" w:sz="0" w:space="0" w:color="auto"/>
        <w:left w:val="none" w:sz="0" w:space="0" w:color="auto"/>
        <w:bottom w:val="none" w:sz="0" w:space="0" w:color="auto"/>
        <w:right w:val="none" w:sz="0" w:space="0" w:color="auto"/>
      </w:divBdr>
    </w:div>
    <w:div w:id="845709299">
      <w:bodyDiv w:val="1"/>
      <w:marLeft w:val="0"/>
      <w:marRight w:val="0"/>
      <w:marTop w:val="0"/>
      <w:marBottom w:val="0"/>
      <w:divBdr>
        <w:top w:val="none" w:sz="0" w:space="0" w:color="auto"/>
        <w:left w:val="none" w:sz="0" w:space="0" w:color="auto"/>
        <w:bottom w:val="none" w:sz="0" w:space="0" w:color="auto"/>
        <w:right w:val="none" w:sz="0" w:space="0" w:color="auto"/>
      </w:divBdr>
    </w:div>
    <w:div w:id="863791186">
      <w:bodyDiv w:val="1"/>
      <w:marLeft w:val="0"/>
      <w:marRight w:val="0"/>
      <w:marTop w:val="0"/>
      <w:marBottom w:val="0"/>
      <w:divBdr>
        <w:top w:val="none" w:sz="0" w:space="0" w:color="auto"/>
        <w:left w:val="none" w:sz="0" w:space="0" w:color="auto"/>
        <w:bottom w:val="none" w:sz="0" w:space="0" w:color="auto"/>
        <w:right w:val="none" w:sz="0" w:space="0" w:color="auto"/>
      </w:divBdr>
    </w:div>
    <w:div w:id="1003163716">
      <w:bodyDiv w:val="1"/>
      <w:marLeft w:val="0"/>
      <w:marRight w:val="0"/>
      <w:marTop w:val="0"/>
      <w:marBottom w:val="0"/>
      <w:divBdr>
        <w:top w:val="none" w:sz="0" w:space="0" w:color="auto"/>
        <w:left w:val="none" w:sz="0" w:space="0" w:color="auto"/>
        <w:bottom w:val="none" w:sz="0" w:space="0" w:color="auto"/>
        <w:right w:val="none" w:sz="0" w:space="0" w:color="auto"/>
      </w:divBdr>
    </w:div>
    <w:div w:id="1273903624">
      <w:bodyDiv w:val="1"/>
      <w:marLeft w:val="0"/>
      <w:marRight w:val="0"/>
      <w:marTop w:val="0"/>
      <w:marBottom w:val="0"/>
      <w:divBdr>
        <w:top w:val="none" w:sz="0" w:space="0" w:color="auto"/>
        <w:left w:val="none" w:sz="0" w:space="0" w:color="auto"/>
        <w:bottom w:val="none" w:sz="0" w:space="0" w:color="auto"/>
        <w:right w:val="none" w:sz="0" w:space="0" w:color="auto"/>
      </w:divBdr>
    </w:div>
    <w:div w:id="18539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Narraway</dc:creator>
  <cp:keywords/>
  <dc:description/>
  <cp:lastModifiedBy>Luke McLoughlin</cp:lastModifiedBy>
  <cp:revision>3</cp:revision>
  <dcterms:created xsi:type="dcterms:W3CDTF">2023-03-28T11:17:00Z</dcterms:created>
  <dcterms:modified xsi:type="dcterms:W3CDTF">2023-03-28T12:10:00Z</dcterms:modified>
</cp:coreProperties>
</file>